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-50" w:type="dxa"/>
        <w:tblCellMar>
          <w:top w:w="0" w:type="dxa"/>
          <w:left w:w="5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0"/>
        <w:gridCol w:w="5561"/>
      </w:tblGrid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before="0" w:after="0"/>
              <w:rPr/>
            </w:pPr>
            <w:r>
              <w:rPr/>
              <w:t>COURSE TITLE: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Crisis management and civil protection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Krzysztof Kaczmarek, PhD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krzysztof.kaczmarek@tu.koszalin.pl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4.0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45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3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workshops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Polish, </w:t>
            </w:r>
            <w:bookmarkStart w:id="0" w:name="__DdeLink__134_2723737797"/>
            <w:bookmarkEnd w:id="0"/>
            <w:r>
              <w:rPr>
                <w:lang w:val="en-US"/>
              </w:rPr>
              <w:t>English possible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</w:t>
            </w:r>
            <w:bookmarkStart w:id="1" w:name="__DdeLink__262_1864646152"/>
            <w:r>
              <w:rPr>
                <w:sz w:val="18"/>
                <w:szCs w:val="18"/>
                <w:lang w:val="en-US"/>
              </w:rPr>
              <w:t>ontinuous assessment</w:t>
            </w:r>
            <w:bookmarkEnd w:id="1"/>
            <w:r>
              <w:rPr>
                <w:sz w:val="18"/>
                <w:szCs w:val="18"/>
                <w:lang w:val="en-US"/>
              </w:rPr>
              <w:t>, other – what type?)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  <w:lang w:val="en-US"/>
              </w:rPr>
              <w:t>Continuous assessment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The aim of the course is to learn the basic rules of conduct in abusive situations that may pose a threat to the population. A significant part of the course is devoted to simulations of possible situations and crisis management.</w:t>
            </w:r>
          </w:p>
        </w:tc>
      </w:tr>
      <w:tr>
        <w:trPr/>
        <w:tc>
          <w:tcPr>
            <w:tcW w:w="365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Possible consultations in English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</w:t>
      </w:r>
      <w:r>
        <w:rPr>
          <w:lang w:val="en-US"/>
        </w:rPr>
        <w:t>Krzysztof Kaczmarek, the 25</w:t>
      </w:r>
      <w:r>
        <w:rPr>
          <w:vertAlign w:val="superscript"/>
          <w:lang w:val="en-US"/>
        </w:rPr>
        <w:t>th</w:t>
      </w:r>
      <w:r>
        <w:rPr>
          <w:lang w:val="en-US"/>
        </w:rPr>
        <w:t xml:space="preserve"> of January 2021</w:t>
      </w:r>
      <w:bookmarkStart w:id="2" w:name="_GoBack"/>
      <w:bookmarkEnd w:id="2"/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paragraph" w:styleId="Tekstwstpniesformatowany" w:customStyle="1">
    <w:name w:val="Tekst wstępnie sformatowany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ritefull-cache xmlns="urn:writefull-cache:Suggestions">{"suggestions":{},"typeOfAccount":"premium"}</writefull-cache>
</file>

<file path=customXml/itemProps1.xml><?xml version="1.0" encoding="utf-8"?>
<ds:datastoreItem xmlns:ds="http://schemas.openxmlformats.org/officeDocument/2006/customXml" ds:itemID="{05052373-6273-480C-B5AA-836DCC25E197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LibreOffice/6.0.6.2$Windows_x86 LibreOffice_project/0c292870b25a325b5ed35f6b45599d2ea4458e77</Application>
  <Pages>1</Pages>
  <Words>169</Words>
  <Characters>1071</Characters>
  <CharactersWithSpaces>1202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2021-03-08T09:45:02Z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