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4C68E3">
            <w:pPr>
              <w:pStyle w:val="Nagwek"/>
              <w:rPr>
                <w:color w:val="000000"/>
                <w:sz w:val="22"/>
                <w:szCs w:val="22"/>
                <w:lang w:val="en-US"/>
              </w:rPr>
            </w:pPr>
            <w:r w:rsidRPr="00834A58">
              <w:rPr>
                <w:color w:val="000000"/>
                <w:sz w:val="22"/>
                <w:szCs w:val="22"/>
                <w:lang w:val="en-US"/>
              </w:rPr>
              <w:t>Koszalin University of Technology</w:t>
            </w:r>
          </w:p>
          <w:p w:rsidR="00747CFF" w:rsidRPr="00834A58" w:rsidRDefault="00E549D7" w:rsidP="004C68E3">
            <w:pPr>
              <w:pStyle w:val="Nagwek"/>
              <w:rPr>
                <w:sz w:val="22"/>
                <w:szCs w:val="22"/>
                <w:lang w:val="en-US"/>
              </w:rPr>
            </w:pPr>
            <w:r>
              <w:rPr>
                <w:color w:val="212121"/>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E549D7" w:rsidP="00D200CC">
            <w:pPr>
              <w:spacing w:after="0" w:line="240" w:lineRule="auto"/>
              <w:rPr>
                <w:rFonts w:ascii="Times New Roman" w:hAnsi="Times New Roman"/>
                <w:b/>
                <w:lang w:val="en-US"/>
              </w:rPr>
            </w:pPr>
            <w:r w:rsidRPr="00834A58">
              <w:rPr>
                <w:rFonts w:ascii="Times New Roman" w:hAnsi="Times New Roman"/>
                <w:b/>
                <w:lang w:val="en-US"/>
              </w:rPr>
              <w:t>FINANCE AND ACCOUNTING</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834A58" w:rsidRPr="00E549D7"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747CFF"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834A58" w:rsidRDefault="00747CFF" w:rsidP="009C32D9">
            <w:pPr>
              <w:spacing w:after="0" w:line="240" w:lineRule="auto"/>
              <w:rPr>
                <w:rFonts w:ascii="Times New Roman" w:hAnsi="Times New Roman"/>
              </w:rPr>
            </w:pPr>
            <w:r w:rsidRPr="00834A58">
              <w:rPr>
                <w:rFonts w:ascii="Times New Roman" w:hAnsi="Times New Roman"/>
                <w:spacing w:val="-4"/>
              </w:rPr>
              <w:t>Grzegorz Kwiatkowski</w:t>
            </w:r>
            <w:r w:rsidR="00E549D7">
              <w:rPr>
                <w:rFonts w:ascii="Times New Roman" w:hAnsi="Times New Roman"/>
                <w:spacing w:val="-4"/>
              </w:rPr>
              <w:t>,</w:t>
            </w:r>
            <w:r w:rsidRPr="00834A58">
              <w:rPr>
                <w:rFonts w:ascii="Times New Roman" w:hAnsi="Times New Roman"/>
                <w:spacing w:val="-4"/>
              </w:rPr>
              <w:t xml:space="preserve"> </w:t>
            </w:r>
            <w:proofErr w:type="spellStart"/>
            <w:r w:rsidRPr="00834A58">
              <w:rPr>
                <w:rFonts w:ascii="Times New Roman" w:hAnsi="Times New Roman"/>
                <w:spacing w:val="-4"/>
              </w:rPr>
              <w:t>PhD</w:t>
            </w:r>
            <w:proofErr w:type="spellEnd"/>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A63915"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834A58" w:rsidRDefault="002327D9" w:rsidP="009C32D9">
            <w:pPr>
              <w:spacing w:after="0" w:line="240" w:lineRule="auto"/>
              <w:rPr>
                <w:rFonts w:ascii="Times New Roman" w:hAnsi="Times New Roman"/>
                <w:lang w:val="en-US"/>
              </w:rPr>
            </w:pPr>
            <w:r>
              <w:rPr>
                <w:rFonts w:ascii="Times New Roman" w:hAnsi="Times New Roman"/>
                <w:lang w:val="en-US"/>
              </w:rPr>
              <w:t>2021/2022</w:t>
            </w:r>
            <w:bookmarkStart w:id="0" w:name="_GoBack"/>
            <w:bookmarkEnd w:id="0"/>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English</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 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w:t>
            </w:r>
            <w:proofErr w:type="spellStart"/>
            <w:r w:rsidRPr="00834A58">
              <w:rPr>
                <w:rFonts w:ascii="Times New Roman" w:hAnsi="Times New Roman" w:cs="Times New Roman"/>
                <w:sz w:val="22"/>
                <w:szCs w:val="22"/>
                <w:lang w:val="en-US"/>
              </w:rPr>
              <w:t>analysing</w:t>
            </w:r>
            <w:proofErr w:type="spellEnd"/>
            <w:r w:rsidRPr="00834A58">
              <w:rPr>
                <w:rFonts w:ascii="Times New Roman" w:hAnsi="Times New Roman" w:cs="Times New Roman"/>
                <w:sz w:val="22"/>
                <w:szCs w:val="22"/>
                <w:lang w:val="en-US"/>
              </w:rPr>
              <w:t xml:space="preserve">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86A46"/>
    <w:rsid w:val="001D30A1"/>
    <w:rsid w:val="002327D9"/>
    <w:rsid w:val="004C554E"/>
    <w:rsid w:val="004C68E3"/>
    <w:rsid w:val="005504FD"/>
    <w:rsid w:val="006E0BE7"/>
    <w:rsid w:val="00747CFF"/>
    <w:rsid w:val="007849C1"/>
    <w:rsid w:val="007D13DC"/>
    <w:rsid w:val="00834A58"/>
    <w:rsid w:val="009E74EE"/>
    <w:rsid w:val="009F3193"/>
    <w:rsid w:val="00A3150E"/>
    <w:rsid w:val="00A369BE"/>
    <w:rsid w:val="00A63915"/>
    <w:rsid w:val="00AF3636"/>
    <w:rsid w:val="00B2501C"/>
    <w:rsid w:val="00BF6B39"/>
    <w:rsid w:val="00D200CC"/>
    <w:rsid w:val="00E549D7"/>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FA98"/>
  <w15:docId w15:val="{8F7359C5-9136-4BE0-BA20-A7EEDA9D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414</Words>
  <Characters>2490</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MCJ</cp:lastModifiedBy>
  <cp:revision>4</cp:revision>
  <dcterms:created xsi:type="dcterms:W3CDTF">2019-02-28T13:54:00Z</dcterms:created>
  <dcterms:modified xsi:type="dcterms:W3CDTF">2021-03-07T11:35:00Z</dcterms:modified>
</cp:coreProperties>
</file>